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80" w:lineRule="exact"/>
        <w:jc w:val="left"/>
        <w:rPr>
          <w:rFonts w:hint="eastAsia" w:ascii="仿宋_GB2312" w:hAnsi="Times New Roman" w:eastAsia="仿宋_GB2312" w:cs="Times New Roman"/>
          <w:sz w:val="36"/>
          <w:szCs w:val="36"/>
          <w:lang w:eastAsia="zh-CN"/>
        </w:rPr>
      </w:pPr>
      <w:r>
        <w:rPr>
          <w:rFonts w:hint="eastAsia" w:ascii="仿宋_GB2312" w:hAnsi="Times New Roman" w:eastAsia="仿宋_GB2312" w:cs="Times New Roman"/>
          <w:bCs/>
          <w:color w:val="000000"/>
          <w:kern w:val="0"/>
          <w:sz w:val="28"/>
          <w:szCs w:val="28"/>
        </w:rPr>
        <w:t>附件</w:t>
      </w:r>
      <w:r>
        <w:rPr>
          <w:rFonts w:hint="eastAsia" w:ascii="仿宋_GB2312" w:hAnsi="Times New Roman" w:eastAsia="仿宋_GB2312" w:cs="Times New Roman"/>
          <w:bCs/>
          <w:color w:val="000000"/>
          <w:kern w:val="0"/>
          <w:sz w:val="28"/>
          <w:szCs w:val="28"/>
          <w:lang w:val="en-US" w:eastAsia="zh-CN"/>
        </w:rPr>
        <w:t>2</w:t>
      </w:r>
      <w:bookmarkStart w:id="0" w:name="_GoBack"/>
      <w:bookmarkEnd w:id="0"/>
    </w:p>
    <w:p>
      <w:pPr>
        <w:adjustRightInd w:val="0"/>
        <w:snapToGrid w:val="0"/>
        <w:spacing w:after="156" w:afterLines="50" w:line="540" w:lineRule="exact"/>
        <w:jc w:val="center"/>
        <w:rPr>
          <w:rFonts w:ascii="黑体" w:hAnsi="Times New Roman" w:eastAsia="黑体" w:cs="Times New Roman"/>
          <w:b/>
          <w:bCs/>
          <w:sz w:val="36"/>
          <w:szCs w:val="36"/>
        </w:rPr>
      </w:pPr>
      <w:r>
        <w:rPr>
          <w:rFonts w:hint="eastAsia" w:ascii="黑体" w:eastAsia="黑体" w:cs="Times New Roman" w:hAnsiTheme="minorEastAsia"/>
          <w:b/>
          <w:bCs/>
          <w:sz w:val="36"/>
          <w:szCs w:val="36"/>
        </w:rPr>
        <w:t>江苏</w:t>
      </w:r>
      <w:r>
        <w:rPr>
          <w:rFonts w:hint="eastAsia" w:ascii="黑体" w:eastAsia="黑体" w:cs="Times New Roman" w:hAnsiTheme="minorEastAsia"/>
          <w:b/>
          <w:bCs/>
          <w:sz w:val="36"/>
          <w:szCs w:val="36"/>
          <w:lang w:val="en-US" w:eastAsia="zh-CN"/>
        </w:rPr>
        <w:t>科技大学专创融合</w:t>
      </w:r>
      <w:r>
        <w:rPr>
          <w:rFonts w:hint="eastAsia" w:ascii="黑体" w:eastAsia="黑体" w:cs="Times New Roman" w:hAnsiTheme="minorEastAsia"/>
          <w:b/>
          <w:bCs/>
          <w:sz w:val="36"/>
          <w:szCs w:val="36"/>
        </w:rPr>
        <w:t>示范课程建设指标（试行）</w:t>
      </w:r>
    </w:p>
    <w:tbl>
      <w:tblPr>
        <w:tblStyle w:val="4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5"/>
        <w:gridCol w:w="1885"/>
        <w:gridCol w:w="63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tblHeader/>
          <w:jc w:val="center"/>
        </w:trPr>
        <w:tc>
          <w:tcPr>
            <w:tcW w:w="8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b/>
                <w:sz w:val="28"/>
                <w:szCs w:val="28"/>
              </w:rPr>
              <w:t>一级指标</w:t>
            </w:r>
          </w:p>
        </w:tc>
        <w:tc>
          <w:tcPr>
            <w:tcW w:w="9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b/>
                <w:sz w:val="28"/>
                <w:szCs w:val="28"/>
              </w:rPr>
              <w:t>二级指标</w:t>
            </w:r>
          </w:p>
        </w:tc>
        <w:tc>
          <w:tcPr>
            <w:tcW w:w="31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b/>
                <w:sz w:val="28"/>
                <w:szCs w:val="28"/>
              </w:rPr>
              <w:t>指标内涵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5" w:hRule="atLeast"/>
          <w:jc w:val="center"/>
        </w:trPr>
        <w:tc>
          <w:tcPr>
            <w:tcW w:w="871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1.</w:t>
            </w:r>
            <w:r>
              <w:rPr>
                <w:rFonts w:hint="eastAsia" w:ascii="仿宋_GB2312" w:hAnsi="仿宋" w:eastAsia="仿宋_GB2312" w:cs="Times New Roman"/>
                <w:sz w:val="28"/>
                <w:szCs w:val="28"/>
              </w:rPr>
              <w:t>课程团队</w:t>
            </w:r>
          </w:p>
        </w:tc>
        <w:tc>
          <w:tcPr>
            <w:tcW w:w="9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1.1</w:t>
            </w:r>
            <w:r>
              <w:rPr>
                <w:rFonts w:hint="eastAsia" w:ascii="仿宋_GB2312" w:hAnsi="仿宋" w:eastAsia="仿宋_GB2312" w:cs="Times New Roman"/>
                <w:sz w:val="28"/>
                <w:szCs w:val="28"/>
              </w:rPr>
              <w:t>主讲教师</w:t>
            </w:r>
          </w:p>
        </w:tc>
        <w:tc>
          <w:tcPr>
            <w:tcW w:w="31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sz w:val="28"/>
                <w:szCs w:val="28"/>
              </w:rPr>
              <w:t>具备良好的师德师风，政治立场坚定，有强烈家国情怀，思维新、视野广、自律严、人格正，注重为人师表，在课程教学中融入真善美。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7" w:hRule="atLeast"/>
          <w:jc w:val="center"/>
        </w:trPr>
        <w:tc>
          <w:tcPr>
            <w:tcW w:w="87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1.2</w:t>
            </w:r>
            <w:r>
              <w:rPr>
                <w:rFonts w:hint="eastAsia" w:ascii="仿宋_GB2312" w:hAnsi="仿宋" w:eastAsia="仿宋_GB2312" w:cs="Times New Roman"/>
                <w:sz w:val="28"/>
                <w:szCs w:val="28"/>
              </w:rPr>
              <w:t>教学团队</w:t>
            </w:r>
          </w:p>
        </w:tc>
        <w:tc>
          <w:tcPr>
            <w:tcW w:w="31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sz w:val="28"/>
                <w:szCs w:val="28"/>
              </w:rPr>
              <w:t>团队成员具备</w:t>
            </w:r>
            <w:r>
              <w:rPr>
                <w:rFonts w:hint="eastAsia" w:ascii="仿宋_GB2312" w:hAnsi="仿宋" w:eastAsia="仿宋_GB2312" w:cs="Times New Roman"/>
                <w:sz w:val="28"/>
                <w:szCs w:val="28"/>
                <w:lang w:val="en-US" w:eastAsia="zh-CN"/>
              </w:rPr>
              <w:t>专创融合</w:t>
            </w:r>
            <w:r>
              <w:rPr>
                <w:rFonts w:hint="eastAsia" w:ascii="仿宋_GB2312" w:hAnsi="仿宋" w:eastAsia="仿宋_GB2312" w:cs="Times New Roman"/>
                <w:sz w:val="28"/>
                <w:szCs w:val="28"/>
              </w:rPr>
              <w:t>意识和能力，积极参与</w:t>
            </w:r>
            <w:r>
              <w:rPr>
                <w:rFonts w:hint="eastAsia" w:ascii="仿宋_GB2312" w:hAnsi="仿宋" w:eastAsia="仿宋_GB2312" w:cs="Times New Roman"/>
                <w:sz w:val="28"/>
                <w:szCs w:val="28"/>
                <w:lang w:val="en-US" w:eastAsia="zh-CN"/>
              </w:rPr>
              <w:t>专创融合</w:t>
            </w:r>
            <w:r>
              <w:rPr>
                <w:rFonts w:hint="eastAsia" w:ascii="仿宋_GB2312" w:hAnsi="仿宋" w:eastAsia="仿宋_GB2312" w:cs="Times New Roman"/>
                <w:sz w:val="28"/>
                <w:szCs w:val="28"/>
              </w:rPr>
              <w:t>教学改革，建立</w:t>
            </w:r>
            <w:r>
              <w:rPr>
                <w:rFonts w:hint="eastAsia" w:ascii="仿宋_GB2312" w:hAnsi="仿宋" w:eastAsia="仿宋_GB2312" w:cs="Times New Roman"/>
                <w:sz w:val="28"/>
                <w:szCs w:val="28"/>
                <w:lang w:val="en-US" w:eastAsia="zh-CN"/>
              </w:rPr>
              <w:t>专创融合</w:t>
            </w:r>
            <w:r>
              <w:rPr>
                <w:rFonts w:hint="eastAsia" w:ascii="仿宋_GB2312" w:hAnsi="仿宋" w:eastAsia="仿宋_GB2312" w:cs="Times New Roman"/>
                <w:sz w:val="28"/>
                <w:szCs w:val="28"/>
              </w:rPr>
              <w:t>集体备课和教研制度，探索</w:t>
            </w:r>
            <w:r>
              <w:rPr>
                <w:rFonts w:hint="eastAsia" w:ascii="仿宋_GB2312" w:hAnsi="仿宋" w:eastAsia="仿宋_GB2312" w:cs="Times New Roman"/>
                <w:sz w:val="28"/>
                <w:szCs w:val="28"/>
                <w:lang w:val="en-US" w:eastAsia="zh-CN"/>
              </w:rPr>
              <w:t>专创融合</w:t>
            </w:r>
            <w:r>
              <w:rPr>
                <w:rFonts w:hint="eastAsia" w:ascii="仿宋_GB2312" w:hAnsi="仿宋" w:eastAsia="仿宋_GB2312" w:cs="Times New Roman"/>
                <w:sz w:val="28"/>
                <w:szCs w:val="28"/>
              </w:rPr>
              <w:t>建设新路径。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2" w:hRule="atLeast"/>
          <w:jc w:val="center"/>
        </w:trPr>
        <w:tc>
          <w:tcPr>
            <w:tcW w:w="871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2.</w:t>
            </w:r>
            <w:r>
              <w:rPr>
                <w:rFonts w:hint="eastAsia" w:ascii="仿宋_GB2312" w:hAnsi="仿宋" w:eastAsia="仿宋_GB2312" w:cs="Times New Roman"/>
                <w:sz w:val="28"/>
                <w:szCs w:val="28"/>
              </w:rPr>
              <w:t>教学内容</w:t>
            </w:r>
          </w:p>
        </w:tc>
        <w:tc>
          <w:tcPr>
            <w:tcW w:w="9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2.1</w:t>
            </w:r>
            <w:r>
              <w:rPr>
                <w:rFonts w:hint="eastAsia" w:ascii="仿宋_GB2312" w:hAnsi="仿宋" w:eastAsia="仿宋_GB2312" w:cs="Times New Roman"/>
                <w:sz w:val="28"/>
                <w:szCs w:val="28"/>
              </w:rPr>
              <w:t>课程目标</w:t>
            </w:r>
          </w:p>
        </w:tc>
        <w:tc>
          <w:tcPr>
            <w:tcW w:w="31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sz w:val="28"/>
                <w:szCs w:val="28"/>
              </w:rPr>
              <w:t>结合本课程在专业人才培养方案中的定位，根据课程性质、特点及授课对象等，制定明确的</w:t>
            </w:r>
            <w:r>
              <w:rPr>
                <w:rFonts w:hint="eastAsia" w:ascii="仿宋_GB2312" w:hAnsi="仿宋" w:eastAsia="仿宋_GB2312" w:cs="Times New Roman"/>
                <w:sz w:val="28"/>
                <w:szCs w:val="28"/>
                <w:lang w:val="en-US" w:eastAsia="zh-CN"/>
              </w:rPr>
              <w:t>专创融合</w:t>
            </w:r>
            <w:r>
              <w:rPr>
                <w:rFonts w:hint="eastAsia" w:ascii="仿宋_GB2312" w:hAnsi="仿宋" w:eastAsia="仿宋_GB2312" w:cs="Times New Roman"/>
                <w:sz w:val="28"/>
                <w:szCs w:val="28"/>
              </w:rPr>
              <w:t>教学目标。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5" w:hRule="atLeast"/>
          <w:jc w:val="center"/>
        </w:trPr>
        <w:tc>
          <w:tcPr>
            <w:tcW w:w="87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2.2</w:t>
            </w:r>
            <w:r>
              <w:rPr>
                <w:rFonts w:hint="eastAsia" w:ascii="仿宋_GB2312" w:hAnsi="仿宋" w:eastAsia="仿宋_GB2312" w:cs="Times New Roman"/>
                <w:sz w:val="28"/>
                <w:szCs w:val="28"/>
              </w:rPr>
              <w:t>课程设计</w:t>
            </w:r>
          </w:p>
        </w:tc>
        <w:tc>
          <w:tcPr>
            <w:tcW w:w="31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sz w:val="28"/>
                <w:szCs w:val="28"/>
              </w:rPr>
              <w:t>在课堂讲授、教学研讨、实验实训、考核评价等各环节，有机融入</w:t>
            </w:r>
            <w:r>
              <w:rPr>
                <w:rFonts w:hint="eastAsia" w:ascii="仿宋_GB2312" w:hAnsi="仿宋" w:eastAsia="仿宋_GB2312" w:cs="Times New Roman"/>
                <w:sz w:val="28"/>
                <w:szCs w:val="28"/>
                <w:lang w:val="en-US" w:eastAsia="zh-CN"/>
              </w:rPr>
              <w:t>专创融合</w:t>
            </w:r>
            <w:r>
              <w:rPr>
                <w:rFonts w:hint="eastAsia" w:ascii="仿宋_GB2312" w:hAnsi="仿宋" w:eastAsia="仿宋_GB2312" w:cs="Times New Roman"/>
                <w:sz w:val="28"/>
                <w:szCs w:val="28"/>
              </w:rPr>
              <w:t>的理念和元素，做到恰当合理、不生硬。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9" w:hRule="atLeast"/>
          <w:jc w:val="center"/>
        </w:trPr>
        <w:tc>
          <w:tcPr>
            <w:tcW w:w="87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2.3</w:t>
            </w:r>
            <w:r>
              <w:rPr>
                <w:rFonts w:hint="eastAsia" w:ascii="仿宋_GB2312" w:hAnsi="仿宋" w:eastAsia="仿宋_GB2312" w:cs="Times New Roman"/>
                <w:sz w:val="28"/>
                <w:szCs w:val="28"/>
              </w:rPr>
              <w:t>课程资源</w:t>
            </w:r>
          </w:p>
        </w:tc>
        <w:tc>
          <w:tcPr>
            <w:tcW w:w="31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sz w:val="28"/>
                <w:szCs w:val="28"/>
              </w:rPr>
              <w:t>注重挖掘和开拓与本课程紧密相关的</w:t>
            </w:r>
            <w:r>
              <w:rPr>
                <w:rFonts w:hint="eastAsia" w:ascii="仿宋_GB2312" w:hAnsi="仿宋" w:eastAsia="仿宋_GB2312" w:cs="Times New Roman"/>
                <w:sz w:val="28"/>
                <w:szCs w:val="28"/>
                <w:lang w:val="en-US" w:eastAsia="zh-CN"/>
              </w:rPr>
              <w:t>专创融合</w:t>
            </w:r>
            <w:r>
              <w:rPr>
                <w:rFonts w:hint="eastAsia" w:ascii="仿宋_GB2312" w:hAnsi="仿宋" w:eastAsia="仿宋_GB2312" w:cs="Times New Roman"/>
                <w:sz w:val="28"/>
                <w:szCs w:val="28"/>
              </w:rPr>
              <w:t>资源，形成丰富的</w:t>
            </w:r>
            <w:r>
              <w:rPr>
                <w:rFonts w:hint="eastAsia" w:ascii="仿宋_GB2312" w:hAnsi="仿宋" w:eastAsia="仿宋_GB2312" w:cs="Times New Roman"/>
                <w:sz w:val="28"/>
                <w:szCs w:val="28"/>
                <w:lang w:val="en-US" w:eastAsia="zh-CN"/>
              </w:rPr>
              <w:t>专创融合</w:t>
            </w:r>
            <w:r>
              <w:rPr>
                <w:rFonts w:hint="eastAsia" w:ascii="仿宋_GB2312" w:hAnsi="仿宋" w:eastAsia="仿宋_GB2312" w:cs="Times New Roman"/>
                <w:sz w:val="28"/>
                <w:szCs w:val="28"/>
              </w:rPr>
              <w:t>资源库；编写和选用高质量配套教材。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1" w:hRule="atLeast"/>
          <w:jc w:val="center"/>
        </w:trPr>
        <w:tc>
          <w:tcPr>
            <w:tcW w:w="871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3.</w:t>
            </w:r>
            <w:r>
              <w:rPr>
                <w:rFonts w:hint="eastAsia" w:ascii="仿宋_GB2312" w:hAnsi="仿宋" w:eastAsia="仿宋_GB2312" w:cs="Times New Roman"/>
                <w:sz w:val="28"/>
                <w:szCs w:val="28"/>
              </w:rPr>
              <w:t>教学改革</w:t>
            </w:r>
          </w:p>
        </w:tc>
        <w:tc>
          <w:tcPr>
            <w:tcW w:w="9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3.1</w:t>
            </w:r>
            <w:r>
              <w:rPr>
                <w:rFonts w:hint="eastAsia" w:ascii="仿宋_GB2312" w:hAnsi="仿宋" w:eastAsia="仿宋_GB2312" w:cs="Times New Roman"/>
                <w:sz w:val="28"/>
                <w:szCs w:val="28"/>
              </w:rPr>
              <w:t>教学方法</w:t>
            </w:r>
          </w:p>
        </w:tc>
        <w:tc>
          <w:tcPr>
            <w:tcW w:w="31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sz w:val="28"/>
                <w:szCs w:val="28"/>
              </w:rPr>
              <w:t>注重</w:t>
            </w:r>
            <w:r>
              <w:rPr>
                <w:rFonts w:hint="eastAsia" w:ascii="仿宋_GB2312" w:hAnsi="仿宋" w:eastAsia="仿宋_GB2312" w:cs="Times New Roman"/>
                <w:sz w:val="28"/>
                <w:szCs w:val="28"/>
                <w:lang w:val="en-US" w:eastAsia="zh-CN"/>
              </w:rPr>
              <w:t>专创融合</w:t>
            </w:r>
            <w:r>
              <w:rPr>
                <w:rFonts w:hint="eastAsia" w:ascii="仿宋_GB2312" w:hAnsi="仿宋" w:eastAsia="仿宋_GB2312" w:cs="Times New Roman"/>
                <w:sz w:val="28"/>
                <w:szCs w:val="28"/>
              </w:rPr>
              <w:t>教学方法多样化，采取启发式、研究性、案例式、</w:t>
            </w: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PBL</w:t>
            </w:r>
            <w:r>
              <w:rPr>
                <w:rFonts w:hint="eastAsia" w:ascii="仿宋_GB2312" w:hAnsi="仿宋" w:eastAsia="仿宋_GB2312" w:cs="Times New Roman"/>
                <w:sz w:val="28"/>
                <w:szCs w:val="28"/>
              </w:rPr>
              <w:t>等教学方法帮助学生树立正确的世界观、人生观和价值观。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1" w:hRule="atLeast"/>
          <w:jc w:val="center"/>
        </w:trPr>
        <w:tc>
          <w:tcPr>
            <w:tcW w:w="87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3.2</w:t>
            </w:r>
            <w:r>
              <w:rPr>
                <w:rFonts w:hint="eastAsia" w:ascii="仿宋_GB2312" w:hAnsi="仿宋" w:eastAsia="仿宋_GB2312" w:cs="Times New Roman"/>
                <w:sz w:val="28"/>
                <w:szCs w:val="28"/>
              </w:rPr>
              <w:t>教学手段</w:t>
            </w:r>
          </w:p>
        </w:tc>
        <w:tc>
          <w:tcPr>
            <w:tcW w:w="31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sz w:val="28"/>
                <w:szCs w:val="28"/>
              </w:rPr>
              <w:t>推动</w:t>
            </w:r>
            <w:r>
              <w:rPr>
                <w:rFonts w:hint="eastAsia" w:ascii="仿宋_GB2312" w:hAnsi="仿宋" w:eastAsia="仿宋_GB2312" w:cs="Times New Roman"/>
                <w:sz w:val="28"/>
                <w:szCs w:val="28"/>
                <w:lang w:val="en-US" w:eastAsia="zh-CN"/>
              </w:rPr>
              <w:t>专创融合</w:t>
            </w:r>
            <w:r>
              <w:rPr>
                <w:rFonts w:hint="eastAsia" w:ascii="仿宋_GB2312" w:hAnsi="仿宋" w:eastAsia="仿宋_GB2312" w:cs="Times New Roman"/>
                <w:sz w:val="28"/>
                <w:szCs w:val="28"/>
              </w:rPr>
              <w:t>与现代教育技术深度融合，创新</w:t>
            </w:r>
            <w:r>
              <w:rPr>
                <w:rFonts w:hint="eastAsia" w:ascii="仿宋_GB2312" w:hAnsi="仿宋" w:eastAsia="仿宋_GB2312" w:cs="Times New Roman"/>
                <w:sz w:val="28"/>
                <w:szCs w:val="28"/>
                <w:lang w:val="en-US" w:eastAsia="zh-CN"/>
              </w:rPr>
              <w:t>双创</w:t>
            </w:r>
            <w:r>
              <w:rPr>
                <w:rFonts w:hint="eastAsia" w:ascii="仿宋_GB2312" w:hAnsi="仿宋" w:eastAsia="仿宋_GB2312" w:cs="Times New Roman"/>
                <w:sz w:val="28"/>
                <w:szCs w:val="28"/>
              </w:rPr>
              <w:t>元素展现形式，增强</w:t>
            </w:r>
            <w:r>
              <w:rPr>
                <w:rFonts w:hint="eastAsia" w:ascii="仿宋_GB2312" w:hAnsi="仿宋" w:eastAsia="仿宋_GB2312" w:cs="Times New Roman"/>
                <w:sz w:val="28"/>
                <w:szCs w:val="28"/>
                <w:lang w:val="en-US" w:eastAsia="zh-CN"/>
              </w:rPr>
              <w:t>专创融合</w:t>
            </w:r>
            <w:r>
              <w:rPr>
                <w:rFonts w:hint="eastAsia" w:ascii="仿宋_GB2312" w:hAnsi="仿宋" w:eastAsia="仿宋_GB2312" w:cs="Times New Roman"/>
                <w:sz w:val="28"/>
                <w:szCs w:val="28"/>
              </w:rPr>
              <w:t>的亲和力和针对性。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  <w:jc w:val="center"/>
        </w:trPr>
        <w:tc>
          <w:tcPr>
            <w:tcW w:w="87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3.3</w:t>
            </w:r>
            <w:r>
              <w:rPr>
                <w:rFonts w:hint="eastAsia" w:ascii="仿宋_GB2312" w:hAnsi="仿宋" w:eastAsia="仿宋_GB2312" w:cs="Times New Roman"/>
                <w:sz w:val="28"/>
                <w:szCs w:val="28"/>
              </w:rPr>
              <w:t>课程考核</w:t>
            </w:r>
          </w:p>
        </w:tc>
        <w:tc>
          <w:tcPr>
            <w:tcW w:w="31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sz w:val="28"/>
                <w:szCs w:val="28"/>
              </w:rPr>
              <w:t>将</w:t>
            </w:r>
            <w:r>
              <w:rPr>
                <w:rFonts w:hint="eastAsia" w:ascii="仿宋_GB2312" w:hAnsi="仿宋" w:eastAsia="仿宋_GB2312" w:cs="Times New Roman"/>
                <w:sz w:val="28"/>
                <w:szCs w:val="28"/>
                <w:lang w:val="en-US" w:eastAsia="zh-CN"/>
              </w:rPr>
              <w:t>专创融合</w:t>
            </w:r>
            <w:r>
              <w:rPr>
                <w:rFonts w:hint="eastAsia" w:ascii="仿宋_GB2312" w:hAnsi="仿宋" w:eastAsia="仿宋_GB2312" w:cs="Times New Roman"/>
                <w:sz w:val="28"/>
                <w:szCs w:val="28"/>
              </w:rPr>
              <w:t>元素充分融入过程考核和结课考核所涵盖的知识、能力与素质中。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  <w:jc w:val="center"/>
        </w:trPr>
        <w:tc>
          <w:tcPr>
            <w:tcW w:w="871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4.</w:t>
            </w:r>
            <w:r>
              <w:rPr>
                <w:rFonts w:hint="eastAsia" w:ascii="仿宋_GB2312" w:hAnsi="仿宋" w:eastAsia="仿宋_GB2312" w:cs="Times New Roman"/>
                <w:sz w:val="28"/>
                <w:szCs w:val="28"/>
              </w:rPr>
              <w:t>教学效果</w:t>
            </w:r>
          </w:p>
        </w:tc>
        <w:tc>
          <w:tcPr>
            <w:tcW w:w="9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4.1</w:t>
            </w:r>
            <w:r>
              <w:rPr>
                <w:rFonts w:hint="eastAsia" w:ascii="仿宋_GB2312" w:hAnsi="仿宋" w:eastAsia="仿宋_GB2312" w:cs="Times New Roman"/>
                <w:sz w:val="28"/>
                <w:szCs w:val="28"/>
              </w:rPr>
              <w:t>学生评价</w:t>
            </w:r>
          </w:p>
        </w:tc>
        <w:tc>
          <w:tcPr>
            <w:tcW w:w="31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sz w:val="28"/>
                <w:szCs w:val="28"/>
              </w:rPr>
              <w:t>学生对教师师德师风评价高，学习满意度高，评教效果好。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  <w:jc w:val="center"/>
        </w:trPr>
        <w:tc>
          <w:tcPr>
            <w:tcW w:w="87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4.2</w:t>
            </w:r>
            <w:r>
              <w:rPr>
                <w:rFonts w:hint="eastAsia" w:ascii="仿宋_GB2312" w:hAnsi="仿宋" w:eastAsia="仿宋_GB2312" w:cs="Times New Roman"/>
                <w:sz w:val="28"/>
                <w:szCs w:val="28"/>
              </w:rPr>
              <w:t>同行评价</w:t>
            </w:r>
          </w:p>
        </w:tc>
        <w:tc>
          <w:tcPr>
            <w:tcW w:w="31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sz w:val="28"/>
                <w:szCs w:val="28"/>
                <w:lang w:val="en-US" w:eastAsia="zh-CN"/>
              </w:rPr>
              <w:t>专创融合</w:t>
            </w:r>
            <w:r>
              <w:rPr>
                <w:rFonts w:hint="eastAsia" w:ascii="仿宋_GB2312" w:hAnsi="仿宋" w:eastAsia="仿宋_GB2312" w:cs="Times New Roman"/>
                <w:sz w:val="28"/>
                <w:szCs w:val="28"/>
              </w:rPr>
              <w:t>教学理念、方法、手段及实施效果显著，同行认可度高，具有一定的辐射和推广价值。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  <w:jc w:val="center"/>
        </w:trPr>
        <w:tc>
          <w:tcPr>
            <w:tcW w:w="181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5.</w:t>
            </w:r>
            <w:r>
              <w:rPr>
                <w:rFonts w:hint="eastAsia" w:ascii="仿宋_GB2312" w:hAnsi="仿宋" w:eastAsia="仿宋_GB2312" w:cs="Times New Roman"/>
                <w:sz w:val="28"/>
                <w:szCs w:val="28"/>
                <w:lang w:val="en-US" w:eastAsia="zh-CN"/>
              </w:rPr>
              <w:t>专创融合</w:t>
            </w:r>
            <w:r>
              <w:rPr>
                <w:rFonts w:hint="eastAsia" w:ascii="仿宋_GB2312" w:hAnsi="仿宋" w:eastAsia="仿宋_GB2312" w:cs="Times New Roman"/>
                <w:sz w:val="28"/>
                <w:szCs w:val="28"/>
              </w:rPr>
              <w:t>特色</w:t>
            </w:r>
          </w:p>
        </w:tc>
        <w:tc>
          <w:tcPr>
            <w:tcW w:w="31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sz w:val="28"/>
                <w:szCs w:val="28"/>
              </w:rPr>
              <w:t>课程在</w:t>
            </w:r>
            <w:r>
              <w:rPr>
                <w:rFonts w:hint="eastAsia" w:ascii="仿宋_GB2312" w:hAnsi="仿宋" w:eastAsia="仿宋_GB2312" w:cs="Times New Roman"/>
                <w:sz w:val="28"/>
                <w:szCs w:val="28"/>
                <w:lang w:val="en-US" w:eastAsia="zh-CN"/>
              </w:rPr>
              <w:t>专创融合</w:t>
            </w:r>
            <w:r>
              <w:rPr>
                <w:rFonts w:hint="eastAsia" w:ascii="仿宋_GB2312" w:hAnsi="仿宋" w:eastAsia="仿宋_GB2312" w:cs="Times New Roman"/>
                <w:sz w:val="28"/>
                <w:szCs w:val="28"/>
              </w:rPr>
              <w:t>建设方面特色亮点工作。</w:t>
            </w:r>
          </w:p>
        </w:tc>
      </w:tr>
    </w:tbl>
    <w:p>
      <w:pPr>
        <w:rPr>
          <w:rFonts w:ascii="仿宋_GB2312" w:eastAsia="仿宋_GB2312"/>
        </w:rPr>
      </w:pP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ZkMjhmOTc4ZWNkOTNlYzE5ODA4MjU2NjQ2NTgxNWEifQ=="/>
  </w:docVars>
  <w:rsids>
    <w:rsidRoot w:val="00DB3967"/>
    <w:rsid w:val="003D5C8D"/>
    <w:rsid w:val="0063406B"/>
    <w:rsid w:val="00651150"/>
    <w:rsid w:val="008562B4"/>
    <w:rsid w:val="00B829D8"/>
    <w:rsid w:val="00DB3967"/>
    <w:rsid w:val="00F039A1"/>
    <w:rsid w:val="786C4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Calibri" w:hAnsi="Calibri" w:eastAsia="宋体" w:cs="宋体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Calibri" w:hAnsi="Calibri" w:eastAsia="宋体" w:cs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596</Words>
  <Characters>623</Characters>
  <Lines>4</Lines>
  <Paragraphs>1</Paragraphs>
  <TotalTime>2</TotalTime>
  <ScaleCrop>false</ScaleCrop>
  <LinksUpToDate>false</LinksUpToDate>
  <CharactersWithSpaces>623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2022-01-05T01:31:00Z</dcterms:created>
  <dc:creator>Win10</dc:creator>
  <cp:lastModifiedBy>陆鸿飞</cp:lastModifiedBy>
  <dcterms:modified xsi:type="dcterms:W3CDTF">2022-06-16T05:50:42Z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1E1EC848F8CF4661853DF1AF3125C9FB</vt:lpwstr>
  </property>
</Properties>
</file>